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89"/>
        <w:spacing w:before="500" w:line="219" w:lineRule="auto"/>
        <w:rPr>
          <w:rFonts w:ascii="SimSun" w:hAnsi="SimSun" w:eastAsia="SimSun" w:cs="SimSun"/>
          <w:sz w:val="101"/>
          <w:szCs w:val="101"/>
        </w:rPr>
      </w:pPr>
      <w:r>
        <w:rPr>
          <w:rFonts w:ascii="SimSun" w:hAnsi="SimSun" w:eastAsia="SimSun" w:cs="SimSun"/>
          <w:sz w:val="101"/>
          <w:szCs w:val="101"/>
          <w:b/>
          <w:bCs/>
          <w:color w:val="FD2129"/>
          <w:spacing w:val="-73"/>
          <w:w w:val="74"/>
        </w:rPr>
        <w:t>绍兴市上虞区科学技术局文件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ind w:left="3370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8"/>
        </w:rPr>
        <w:t>虞科〔2021〕12号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60" w:lineRule="exact"/>
        <w:textAlignment w:val="center"/>
        <w:rPr/>
      </w:pPr>
      <w:r>
        <w:drawing>
          <wp:inline distT="0" distB="0" distL="0" distR="0">
            <wp:extent cx="6115093" cy="3815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15093" cy="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666" w:right="1047" w:hanging="1940"/>
        <w:spacing w:before="149" w:line="223" w:lineRule="auto"/>
        <w:rPr>
          <w:rFonts w:ascii="SimHei" w:hAnsi="SimHei" w:eastAsia="SimHei" w:cs="SimHei"/>
          <w:sz w:val="46"/>
          <w:szCs w:val="46"/>
        </w:rPr>
      </w:pPr>
      <w:r>
        <w:rPr>
          <w:rFonts w:ascii="SimHei" w:hAnsi="SimHei" w:eastAsia="SimHei" w:cs="SimHei"/>
          <w:sz w:val="46"/>
          <w:szCs w:val="46"/>
          <w:b/>
          <w:bCs/>
          <w:spacing w:val="-27"/>
        </w:rPr>
        <w:t>关于下达绍兴市上虞区2021年度区级社会</w:t>
      </w:r>
      <w:r>
        <w:rPr>
          <w:rFonts w:ascii="SimHei" w:hAnsi="SimHei" w:eastAsia="SimHei" w:cs="SimHei"/>
          <w:sz w:val="46"/>
          <w:szCs w:val="46"/>
          <w:spacing w:val="18"/>
        </w:rPr>
        <w:t xml:space="preserve"> </w:t>
      </w:r>
      <w:r>
        <w:rPr>
          <w:rFonts w:ascii="SimHei" w:hAnsi="SimHei" w:eastAsia="SimHei" w:cs="SimHei"/>
          <w:sz w:val="46"/>
          <w:szCs w:val="46"/>
          <w:b/>
          <w:bCs/>
          <w:spacing w:val="-22"/>
        </w:rPr>
        <w:t>发展科技计划的通知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380"/>
        <w:spacing w:before="107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</w:rPr>
        <w:t>各项目承担单位：</w:t>
      </w:r>
    </w:p>
    <w:p>
      <w:pPr>
        <w:ind w:left="380" w:right="955" w:firstLine="660"/>
        <w:spacing w:before="187" w:line="319" w:lineRule="auto"/>
        <w:jc w:val="both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根据绍兴市上虞区科技局《关于组织申报2021年度上虞</w:t>
      </w:r>
      <w:r>
        <w:rPr>
          <w:rFonts w:ascii="FangSong" w:hAnsi="FangSong" w:eastAsia="FangSong" w:cs="FangSong"/>
          <w:sz w:val="33"/>
          <w:szCs w:val="33"/>
          <w:spacing w:val="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9"/>
        </w:rPr>
        <w:t>区级社会发展科技计划项目的通知》</w:t>
      </w:r>
      <w:r>
        <w:rPr>
          <w:rFonts w:ascii="FangSong" w:hAnsi="FangSong" w:eastAsia="FangSong" w:cs="FangSong"/>
          <w:sz w:val="33"/>
          <w:szCs w:val="33"/>
          <w:spacing w:val="9"/>
        </w:rPr>
        <w:t xml:space="preserve">  </w:t>
      </w:r>
      <w:r>
        <w:rPr>
          <w:rFonts w:ascii="FangSong" w:hAnsi="FangSong" w:eastAsia="FangSong" w:cs="FangSong"/>
          <w:sz w:val="33"/>
          <w:szCs w:val="33"/>
          <w:spacing w:val="-9"/>
        </w:rPr>
        <w:t>(虞科[2021]8</w:t>
      </w:r>
      <w:r>
        <w:rPr>
          <w:rFonts w:ascii="FangSong" w:hAnsi="FangSong" w:eastAsia="FangSong" w:cs="FangSong"/>
          <w:sz w:val="33"/>
          <w:szCs w:val="33"/>
          <w:spacing w:val="-10"/>
        </w:rPr>
        <w:t>号)精</w:t>
      </w:r>
      <w:r>
        <w:rPr>
          <w:rFonts w:ascii="FangSong" w:hAnsi="FangSong" w:eastAsia="FangSong" w:cs="FangSong"/>
          <w:sz w:val="33"/>
          <w:szCs w:val="33"/>
          <w:spacing w:val="1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1"/>
        </w:rPr>
        <w:t>神，经各单位申报，主管部门审核，我局已完成项目初审、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2"/>
        </w:rPr>
        <w:t>专家评审、媒体公示等相关程序，现将绍兴市上虞区2021年</w:t>
      </w:r>
      <w:r>
        <w:rPr>
          <w:rFonts w:ascii="FangSong" w:hAnsi="FangSong" w:eastAsia="FangSong" w:cs="FangSong"/>
          <w:sz w:val="33"/>
          <w:szCs w:val="33"/>
          <w:spacing w:val="16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2"/>
        </w:rPr>
        <w:t>度区级社会发展科技项目计划下达给你们，请按</w:t>
      </w:r>
      <w:r>
        <w:rPr>
          <w:rFonts w:ascii="FangSong" w:hAnsi="FangSong" w:eastAsia="FangSong" w:cs="FangSong"/>
          <w:sz w:val="33"/>
          <w:szCs w:val="33"/>
          <w:spacing w:val="-13"/>
        </w:rPr>
        <w:t>照有关科技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2"/>
        </w:rPr>
        <w:t>计划和项目管理办法，多渠道落实配套资金，加快项目的实</w:t>
      </w:r>
    </w:p>
    <w:p>
      <w:pPr>
        <w:ind w:left="380"/>
        <w:spacing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施，项目到期后及时提交项目绩效考评自评报告给</w:t>
      </w:r>
      <w:r>
        <w:rPr>
          <w:rFonts w:ascii="FangSong" w:hAnsi="FangSong" w:eastAsia="FangSong" w:cs="FangSong"/>
          <w:sz w:val="33"/>
          <w:szCs w:val="33"/>
          <w:spacing w:val="-13"/>
        </w:rPr>
        <w:t>我局。</w:t>
      </w:r>
    </w:p>
    <w:p>
      <w:pPr>
        <w:ind w:left="1030"/>
        <w:spacing w:before="230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0"/>
        </w:rPr>
        <w:t>附件：2021年度绍兴市上虞区级社会发展</w:t>
      </w:r>
      <w:r>
        <w:rPr>
          <w:rFonts w:ascii="FangSong" w:hAnsi="FangSong" w:eastAsia="FangSong" w:cs="FangSong"/>
          <w:sz w:val="33"/>
          <w:szCs w:val="33"/>
          <w:spacing w:val="-11"/>
        </w:rPr>
        <w:t>科技项目清单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4850"/>
        <w:spacing w:before="108" w:line="560" w:lineRule="exact"/>
        <w:rPr>
          <w:rFonts w:ascii="FangSong" w:hAnsi="FangSong" w:eastAsia="FangSong" w:cs="FangSong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3568729</wp:posOffset>
            </wp:positionH>
            <wp:positionV relativeFrom="paragraph">
              <wp:posOffset>-605032</wp:posOffset>
            </wp:positionV>
            <wp:extent cx="1568468" cy="1549408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468" cy="154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3"/>
          <w:szCs w:val="33"/>
          <w:spacing w:val="-9"/>
          <w:position w:val="16"/>
        </w:rPr>
        <w:t>绍兴市上虞区科学技术局</w:t>
      </w:r>
    </w:p>
    <w:p>
      <w:pPr>
        <w:ind w:left="5510"/>
        <w:spacing w:before="1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"/>
        </w:rPr>
        <w:t>2021年10月22日</w:t>
      </w:r>
    </w:p>
    <w:p>
      <w:pPr>
        <w:sectPr>
          <w:pgSz w:w="11890" w:h="16830"/>
          <w:pgMar w:top="1430" w:right="1169" w:bottom="0" w:left="1089" w:header="0" w:footer="0" w:gutter="0"/>
        </w:sectPr>
        <w:rPr/>
      </w:pPr>
    </w:p>
    <w:p>
      <w:pPr>
        <w:ind w:left="85"/>
        <w:spacing w:before="70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6"/>
        </w:rPr>
        <w:t>附件：</w:t>
      </w:r>
    </w:p>
    <w:p>
      <w:pPr>
        <w:ind w:left="359"/>
        <w:spacing w:before="175" w:line="221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12"/>
        </w:rPr>
        <w:t>2021</w:t>
      </w:r>
      <w:r>
        <w:rPr>
          <w:rFonts w:ascii="SimHei" w:hAnsi="SimHei" w:eastAsia="SimHei" w:cs="SimHei"/>
          <w:sz w:val="34"/>
          <w:szCs w:val="34"/>
          <w:spacing w:val="-18"/>
        </w:rPr>
        <w:t xml:space="preserve"> </w:t>
      </w:r>
      <w:r>
        <w:rPr>
          <w:rFonts w:ascii="SimHei" w:hAnsi="SimHei" w:eastAsia="SimHei" w:cs="SimHei"/>
          <w:sz w:val="34"/>
          <w:szCs w:val="34"/>
          <w:b/>
          <w:bCs/>
          <w:spacing w:val="12"/>
        </w:rPr>
        <w:t>年度绍兴市上虞区级社会发展科技项目清单</w:t>
      </w:r>
    </w:p>
    <w:p>
      <w:pPr>
        <w:rPr/>
      </w:pPr>
      <w:r/>
    </w:p>
    <w:p>
      <w:pPr>
        <w:rPr/>
      </w:pPr>
      <w:r/>
    </w:p>
    <w:p>
      <w:pPr>
        <w:spacing w:line="219" w:lineRule="exact"/>
        <w:rPr/>
      </w:pPr>
      <w:r/>
    </w:p>
    <w:tbl>
      <w:tblPr>
        <w:tblStyle w:val="2"/>
        <w:tblW w:w="82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4"/>
        <w:gridCol w:w="5423"/>
        <w:gridCol w:w="2163"/>
      </w:tblGrid>
      <w:tr>
        <w:trPr>
          <w:trHeight w:val="614" w:hRule="atLeast"/>
        </w:trPr>
        <w:tc>
          <w:tcPr>
            <w:tcW w:w="704" w:type="dxa"/>
            <w:vAlign w:val="top"/>
          </w:tcPr>
          <w:p>
            <w:pPr>
              <w:ind w:left="138"/>
              <w:spacing w:before="20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序号</w:t>
            </w:r>
          </w:p>
        </w:tc>
        <w:tc>
          <w:tcPr>
            <w:tcW w:w="5423" w:type="dxa"/>
            <w:vAlign w:val="top"/>
          </w:tcPr>
          <w:p>
            <w:pPr>
              <w:ind w:left="2094"/>
              <w:spacing w:before="20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20"/>
              </w:rPr>
              <w:t>项</w:t>
            </w:r>
            <w:r>
              <w:rPr>
                <w:rFonts w:ascii="SimSun" w:hAnsi="SimSun" w:eastAsia="SimSun" w:cs="SimSun"/>
                <w:sz w:val="21"/>
                <w:szCs w:val="21"/>
                <w:spacing w:val="9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20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  <w:spacing w:val="5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20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:spacing w:val="5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20"/>
              </w:rPr>
              <w:t>称</w:t>
            </w:r>
          </w:p>
        </w:tc>
        <w:tc>
          <w:tcPr>
            <w:tcW w:w="2163" w:type="dxa"/>
            <w:vAlign w:val="top"/>
          </w:tcPr>
          <w:p>
            <w:pPr>
              <w:ind w:left="421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承担单位</w:t>
            </w:r>
          </w:p>
        </w:tc>
      </w:tr>
      <w:tr>
        <w:trPr>
          <w:trHeight w:val="630" w:hRule="atLeast"/>
        </w:trPr>
        <w:tc>
          <w:tcPr>
            <w:tcW w:w="704" w:type="dxa"/>
            <w:vAlign w:val="top"/>
          </w:tcPr>
          <w:p>
            <w:pPr>
              <w:ind w:left="284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5423" w:type="dxa"/>
            <w:vAlign w:val="top"/>
          </w:tcPr>
          <w:p>
            <w:pPr>
              <w:ind w:left="121" w:right="119"/>
              <w:spacing w:before="79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超声引导下锁骨上神经阻滞和肌间沟臂丛神经阻滞用于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锁骨骨折术后的镇痛效果比较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20" w:hRule="atLeast"/>
        </w:trPr>
        <w:tc>
          <w:tcPr>
            <w:tcW w:w="704" w:type="dxa"/>
            <w:vAlign w:val="top"/>
          </w:tcPr>
          <w:p>
            <w:pPr>
              <w:ind w:left="284"/>
              <w:spacing w:before="26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5423" w:type="dxa"/>
            <w:vAlign w:val="top"/>
          </w:tcPr>
          <w:p>
            <w:pPr>
              <w:ind w:left="121" w:right="104"/>
              <w:spacing w:before="78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丹参酮ⅡA抑制</w:t>
            </w:r>
            <w:r>
              <w:rPr>
                <w:rFonts w:ascii="SimSun" w:hAnsi="SimSun" w:eastAsia="SimSun" w:cs="SimSun"/>
                <w:sz w:val="21"/>
                <w:szCs w:val="21"/>
              </w:rPr>
              <w:t>PKM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2/</w:t>
            </w:r>
            <w:r>
              <w:rPr>
                <w:rFonts w:ascii="SimSun" w:hAnsi="SimSun" w:eastAsia="SimSun" w:cs="SimSun"/>
                <w:sz w:val="21"/>
                <w:szCs w:val="21"/>
              </w:rPr>
              <w:t>HIF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-</w:t>
            </w:r>
            <w:r>
              <w:rPr>
                <w:rFonts w:ascii="SimSun" w:hAnsi="SimSun" w:eastAsia="SimSun" w:cs="SimSun"/>
                <w:sz w:val="21"/>
                <w:szCs w:val="21"/>
              </w:rPr>
              <w:t>la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信号抑制动脉粥样硬化过程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血管新生的研究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19" w:hRule="atLeast"/>
        </w:trPr>
        <w:tc>
          <w:tcPr>
            <w:tcW w:w="704" w:type="dxa"/>
            <w:vAlign w:val="top"/>
          </w:tcPr>
          <w:p>
            <w:pPr>
              <w:ind w:left="284"/>
              <w:spacing w:before="26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上虞区6-14岁儿童超重、肥胖及糖代谢现状调查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19" w:hRule="atLeast"/>
        </w:trPr>
        <w:tc>
          <w:tcPr>
            <w:tcW w:w="704" w:type="dxa"/>
            <w:vAlign w:val="top"/>
          </w:tcPr>
          <w:p>
            <w:pPr>
              <w:ind w:left="284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5423" w:type="dxa"/>
            <w:vAlign w:val="top"/>
          </w:tcPr>
          <w:p>
            <w:pPr>
              <w:ind w:left="121" w:right="121"/>
              <w:spacing w:before="79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前列腺特异性抗原密度、前列腺体积联合胱抑素-C对前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列腺肿瘤诊断价值研究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19" w:hRule="atLeast"/>
        </w:trPr>
        <w:tc>
          <w:tcPr>
            <w:tcW w:w="704" w:type="dxa"/>
            <w:vAlign w:val="top"/>
          </w:tcPr>
          <w:p>
            <w:pPr>
              <w:ind w:left="284"/>
              <w:spacing w:before="266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5423" w:type="dxa"/>
            <w:vAlign w:val="top"/>
          </w:tcPr>
          <w:p>
            <w:pPr>
              <w:ind w:left="120" w:right="103" w:hanging="19"/>
              <w:spacing w:before="7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儿童癫痫患者左乙拉西坦血药浓度相关研究及治疗疗效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的观察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20" w:hRule="atLeast"/>
        </w:trPr>
        <w:tc>
          <w:tcPr>
            <w:tcW w:w="704" w:type="dxa"/>
            <w:vAlign w:val="top"/>
          </w:tcPr>
          <w:p>
            <w:pPr>
              <w:ind w:left="284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5423" w:type="dxa"/>
            <w:vAlign w:val="top"/>
          </w:tcPr>
          <w:p>
            <w:pPr>
              <w:ind w:left="121" w:right="41"/>
              <w:spacing w:before="71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情景微视频在术前访中的应用对老年患者全麻后早期认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知功能障碍的影响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39" w:hRule="atLeast"/>
        </w:trPr>
        <w:tc>
          <w:tcPr>
            <w:tcW w:w="704" w:type="dxa"/>
            <w:vAlign w:val="top"/>
          </w:tcPr>
          <w:p>
            <w:pPr>
              <w:ind w:left="284"/>
              <w:spacing w:before="277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2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危重症患者早期康复治疗的临床研究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2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19" w:hRule="atLeast"/>
        </w:trPr>
        <w:tc>
          <w:tcPr>
            <w:tcW w:w="704" w:type="dxa"/>
            <w:vAlign w:val="top"/>
          </w:tcPr>
          <w:p>
            <w:pPr>
              <w:ind w:left="284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1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上虞地区妊娠期铁缺乏及缺铁性贫血的现况调查分析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20" w:hRule="atLeast"/>
        </w:trPr>
        <w:tc>
          <w:tcPr>
            <w:tcW w:w="704" w:type="dxa"/>
            <w:vAlign w:val="top"/>
          </w:tcPr>
          <w:p>
            <w:pPr>
              <w:ind w:left="28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透明帽辅助内镜下治疗内痔的临床研究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1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5423" w:type="dxa"/>
            <w:vAlign w:val="top"/>
          </w:tcPr>
          <w:p>
            <w:pPr>
              <w:ind w:left="121" w:right="82"/>
              <w:spacing w:before="9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肌骨超声在诊断慢性踝关节外侧副韧带损伤中的应用研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究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1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11</w:t>
            </w:r>
          </w:p>
        </w:tc>
        <w:tc>
          <w:tcPr>
            <w:tcW w:w="5423" w:type="dxa"/>
            <w:vAlign w:val="top"/>
          </w:tcPr>
          <w:p>
            <w:pPr>
              <w:ind w:left="121" w:right="80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康复训练对改善慢性阻塞性肺病(稳定期)患者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肺功能及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运动耐量的研究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4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27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12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2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绍兴市上虞综合性医院感染管理优化研究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2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2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13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风险管理在手术室护理管理中应用的效果研究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1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14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一种数码定位的细菌考核质量控制片的制备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上虞人民医院</w:t>
            </w:r>
          </w:p>
        </w:tc>
      </w:tr>
      <w:tr>
        <w:trPr>
          <w:trHeight w:val="61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15</w:t>
            </w:r>
          </w:p>
        </w:tc>
        <w:tc>
          <w:tcPr>
            <w:tcW w:w="5423" w:type="dxa"/>
            <w:vAlign w:val="top"/>
          </w:tcPr>
          <w:p>
            <w:pPr>
              <w:ind w:left="121" w:right="122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肩关节镜下双排锚钉缝线桥技术治疗</w:t>
            </w:r>
            <w:r>
              <w:rPr>
                <w:rFonts w:ascii="SimSun" w:hAnsi="SimSun" w:eastAsia="SimSun" w:cs="SimSun"/>
                <w:sz w:val="21"/>
                <w:szCs w:val="21"/>
              </w:rPr>
              <w:t>BiglianiII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型肩峰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撞击</w:t>
            </w:r>
            <w:r>
              <w:rPr>
                <w:rFonts w:ascii="SimSun" w:hAnsi="SimSun" w:eastAsia="SimSun" w:cs="SimSun"/>
                <w:sz w:val="21"/>
                <w:szCs w:val="21"/>
              </w:rPr>
              <w:t>MutchI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型肱骨大结节骨折患者的疗效分析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3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27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16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任脉药物铺灸治疗脾胃虚寒型慢性胃炎的疗效观察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3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27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17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清肺三子汤加减治疗小儿急性支气管炎的临床研究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24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27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18</w:t>
            </w:r>
          </w:p>
        </w:tc>
        <w:tc>
          <w:tcPr>
            <w:tcW w:w="5423" w:type="dxa"/>
            <w:vAlign w:val="top"/>
          </w:tcPr>
          <w:p>
            <w:pPr>
              <w:ind w:left="121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上焦宣痹汤加减治疗湿热型咳嗽疗效观察</w:t>
            </w:r>
          </w:p>
        </w:tc>
        <w:tc>
          <w:tcPr>
            <w:tcW w:w="2163" w:type="dxa"/>
            <w:vAlign w:val="top"/>
          </w:tcPr>
          <w:p>
            <w:pPr>
              <w:ind w:left="448"/>
              <w:spacing w:before="21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890" w:h="16830"/>
          <w:pgMar w:top="1381" w:right="1783" w:bottom="0" w:left="1664" w:header="0" w:footer="0" w:gutter="0"/>
        </w:sectPr>
        <w:rPr/>
      </w:pPr>
    </w:p>
    <w:p>
      <w:pPr>
        <w:spacing w:line="89" w:lineRule="exact"/>
        <w:rPr/>
      </w:pPr>
      <w:r/>
    </w:p>
    <w:tbl>
      <w:tblPr>
        <w:tblStyle w:val="2"/>
        <w:tblW w:w="8239" w:type="dxa"/>
        <w:tblInd w:w="193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14"/>
        <w:gridCol w:w="5383"/>
        <w:gridCol w:w="2142"/>
      </w:tblGrid>
      <w:tr>
        <w:trPr>
          <w:trHeight w:val="624" w:hRule="atLeast"/>
        </w:trPr>
        <w:tc>
          <w:tcPr>
            <w:tcW w:w="714" w:type="dxa"/>
            <w:vAlign w:val="top"/>
          </w:tcPr>
          <w:p>
            <w:pPr>
              <w:ind w:left="137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序号</w:t>
            </w:r>
          </w:p>
        </w:tc>
        <w:tc>
          <w:tcPr>
            <w:tcW w:w="5383" w:type="dxa"/>
            <w:vAlign w:val="top"/>
          </w:tcPr>
          <w:p>
            <w:pPr>
              <w:ind w:left="2033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20"/>
              </w:rPr>
              <w:t>项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20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  <w:spacing w:val="7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20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:spacing w:val="6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20"/>
              </w:rPr>
              <w:t>称</w:t>
            </w:r>
          </w:p>
        </w:tc>
        <w:tc>
          <w:tcPr>
            <w:tcW w:w="2142" w:type="dxa"/>
            <w:vAlign w:val="top"/>
          </w:tcPr>
          <w:p>
            <w:pPr>
              <w:ind w:left="420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承担单位</w:t>
            </w:r>
          </w:p>
        </w:tc>
      </w:tr>
      <w:tr>
        <w:trPr>
          <w:trHeight w:val="629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19</w:t>
            </w:r>
          </w:p>
        </w:tc>
        <w:tc>
          <w:tcPr>
            <w:tcW w:w="5383" w:type="dxa"/>
            <w:vAlign w:val="top"/>
          </w:tcPr>
          <w:p>
            <w:pPr>
              <w:ind w:left="90" w:right="153"/>
              <w:spacing w:before="48" w:line="25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白芥子耳穴贴压改善尿毒症透析患者皮肤瘙痒的临床研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究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29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5383" w:type="dxa"/>
            <w:vAlign w:val="top"/>
          </w:tcPr>
          <w:p>
            <w:pPr>
              <w:ind w:left="90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炙甘草汤加味治疗阴虚瘀阻型痤疮的临床研穷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30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</w:t>
            </w:r>
          </w:p>
        </w:tc>
        <w:tc>
          <w:tcPr>
            <w:tcW w:w="5383" w:type="dxa"/>
            <w:vAlign w:val="top"/>
          </w:tcPr>
          <w:p>
            <w:pPr>
              <w:ind w:left="90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补肾活血法治疗肾虚血瘀型卵巢储备功能下降临床观察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19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</w:t>
            </w:r>
          </w:p>
        </w:tc>
        <w:tc>
          <w:tcPr>
            <w:tcW w:w="5383" w:type="dxa"/>
            <w:vAlign w:val="top"/>
          </w:tcPr>
          <w:p>
            <w:pPr>
              <w:ind w:left="90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颈动脉超声规范化检查基层医院应用研究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19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</w:t>
            </w:r>
          </w:p>
        </w:tc>
        <w:tc>
          <w:tcPr>
            <w:tcW w:w="5383" w:type="dxa"/>
            <w:vAlign w:val="top"/>
          </w:tcPr>
          <w:p>
            <w:pPr>
              <w:ind w:left="90" w:right="151"/>
              <w:spacing w:before="71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桂枝芍药知母汤加减联合甲氨蝶呤片治疗类风湿性关节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炎的临床疗效研究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30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5383" w:type="dxa"/>
            <w:vAlign w:val="top"/>
          </w:tcPr>
          <w:p>
            <w:pPr>
              <w:ind w:left="90" w:right="145"/>
              <w:spacing w:before="72" w:line="24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补阳还五汤中药配方颗粒对改善不同</w:t>
            </w:r>
            <w:r>
              <w:rPr>
                <w:rFonts w:ascii="SimSun" w:hAnsi="SimSun" w:eastAsia="SimSun" w:cs="SimSun"/>
                <w:sz w:val="21"/>
                <w:szCs w:val="21"/>
              </w:rPr>
              <w:t>Padua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评分分组的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恶性肿瘤患者血液高凝状态的临床疗效观察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29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</w:t>
            </w:r>
          </w:p>
        </w:tc>
        <w:tc>
          <w:tcPr>
            <w:tcW w:w="5383" w:type="dxa"/>
            <w:vAlign w:val="top"/>
          </w:tcPr>
          <w:p>
            <w:pPr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《中医药膳知识库》的设计与构建研究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20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</w:t>
            </w:r>
          </w:p>
        </w:tc>
        <w:tc>
          <w:tcPr>
            <w:tcW w:w="5383" w:type="dxa"/>
            <w:vAlign w:val="top"/>
          </w:tcPr>
          <w:p>
            <w:pPr>
              <w:ind w:left="90" w:right="144"/>
              <w:spacing w:before="74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水垫容量与不同体重指数对应性变化在预防尾骶部压力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性损伤的有效性研究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29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</w:t>
            </w:r>
          </w:p>
        </w:tc>
        <w:tc>
          <w:tcPr>
            <w:tcW w:w="5383" w:type="dxa"/>
            <w:vAlign w:val="top"/>
          </w:tcPr>
          <w:p>
            <w:pPr>
              <w:ind w:left="90" w:right="127"/>
              <w:spacing w:before="42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基于</w:t>
            </w:r>
            <w:r>
              <w:rPr>
                <w:rFonts w:ascii="SimSun" w:hAnsi="SimSun" w:eastAsia="SimSun" w:cs="SimSun"/>
                <w:sz w:val="21"/>
                <w:szCs w:val="21"/>
              </w:rPr>
              <w:t>MDCT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低剂量靶扫描技术联合</w:t>
            </w:r>
            <w:r>
              <w:rPr>
                <w:rFonts w:ascii="SimSun" w:hAnsi="SimSun" w:eastAsia="SimSun" w:cs="SimSun"/>
                <w:sz w:val="21"/>
                <w:szCs w:val="21"/>
              </w:rPr>
              <w:t>DWI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多模态扫描在难定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性肺结节诊断准确度与病理对照研究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20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</w:t>
            </w:r>
          </w:p>
        </w:tc>
        <w:tc>
          <w:tcPr>
            <w:tcW w:w="5383" w:type="dxa"/>
            <w:vAlign w:val="top"/>
          </w:tcPr>
          <w:p>
            <w:pPr>
              <w:ind w:left="90" w:right="125"/>
              <w:spacing w:before="64" w:line="24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补肾三针结合雷火灸治疗前列腺电切术后不稳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定膀胱的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临床疗效观察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20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</w:t>
            </w:r>
          </w:p>
        </w:tc>
        <w:tc>
          <w:tcPr>
            <w:tcW w:w="5383" w:type="dxa"/>
            <w:vAlign w:val="top"/>
          </w:tcPr>
          <w:p>
            <w:pPr>
              <w:ind w:left="90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中药泡洗缓解卡培他滨所致手足综合症的疗效观察</w:t>
            </w:r>
          </w:p>
        </w:tc>
        <w:tc>
          <w:tcPr>
            <w:tcW w:w="2142" w:type="dxa"/>
            <w:vAlign w:val="top"/>
          </w:tcPr>
          <w:p>
            <w:pPr>
              <w:ind w:left="437"/>
              <w:spacing w:before="21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上虞中医医院</w:t>
            </w:r>
          </w:p>
        </w:tc>
      </w:tr>
      <w:tr>
        <w:trPr>
          <w:trHeight w:val="640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7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30</w:t>
            </w:r>
          </w:p>
        </w:tc>
        <w:tc>
          <w:tcPr>
            <w:tcW w:w="5383" w:type="dxa"/>
            <w:vAlign w:val="top"/>
          </w:tcPr>
          <w:p>
            <w:pPr>
              <w:ind w:left="90"/>
              <w:spacing w:before="22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上虞区出生新生儿先天性</w:t>
            </w:r>
            <w:r>
              <w:rPr>
                <w:rFonts w:ascii="SimSun" w:hAnsi="SimSun" w:eastAsia="SimSun" w:cs="SimSun"/>
                <w:sz w:val="21"/>
                <w:szCs w:val="21"/>
              </w:rPr>
              <w:t>CMV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筛查</w:t>
            </w:r>
          </w:p>
        </w:tc>
        <w:tc>
          <w:tcPr>
            <w:tcW w:w="2142" w:type="dxa"/>
            <w:vAlign w:val="top"/>
          </w:tcPr>
          <w:p>
            <w:pPr>
              <w:ind w:left="328"/>
              <w:spacing w:before="22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上虞妇幼保健院</w:t>
            </w:r>
          </w:p>
        </w:tc>
      </w:tr>
      <w:tr>
        <w:trPr>
          <w:trHeight w:val="620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31</w:t>
            </w:r>
          </w:p>
        </w:tc>
        <w:tc>
          <w:tcPr>
            <w:tcW w:w="5383" w:type="dxa"/>
            <w:vAlign w:val="top"/>
          </w:tcPr>
          <w:p>
            <w:pPr>
              <w:ind w:left="90"/>
              <w:spacing w:before="213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加速康复外科理念下妇科腹腔镜术后的饮食管理及价值</w:t>
            </w:r>
          </w:p>
        </w:tc>
        <w:tc>
          <w:tcPr>
            <w:tcW w:w="2142" w:type="dxa"/>
            <w:vAlign w:val="top"/>
          </w:tcPr>
          <w:p>
            <w:pPr>
              <w:ind w:left="32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上虞妇幼保健院</w:t>
            </w:r>
          </w:p>
        </w:tc>
      </w:tr>
      <w:tr>
        <w:trPr>
          <w:trHeight w:val="620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32</w:t>
            </w:r>
          </w:p>
        </w:tc>
        <w:tc>
          <w:tcPr>
            <w:tcW w:w="5383" w:type="dxa"/>
            <w:vAlign w:val="top"/>
          </w:tcPr>
          <w:p>
            <w:pPr>
              <w:ind w:left="90" w:right="113"/>
              <w:spacing w:before="55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脐血培养、常规、</w:t>
            </w:r>
            <w:r>
              <w:rPr>
                <w:rFonts w:ascii="SimSun" w:hAnsi="SimSun" w:eastAsia="SimSun" w:cs="SimSun"/>
                <w:sz w:val="21"/>
                <w:szCs w:val="21"/>
              </w:rPr>
              <w:t>PCT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检查对照新生儿外周血培养、常规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PCT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的检测对新生儿早发感染治疗进行临床意义的探讨</w:t>
            </w:r>
          </w:p>
        </w:tc>
        <w:tc>
          <w:tcPr>
            <w:tcW w:w="2142" w:type="dxa"/>
            <w:vAlign w:val="top"/>
          </w:tcPr>
          <w:p>
            <w:pPr>
              <w:ind w:left="32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上虞妇幼保健院</w:t>
            </w:r>
          </w:p>
        </w:tc>
      </w:tr>
      <w:tr>
        <w:trPr>
          <w:trHeight w:val="629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33</w:t>
            </w:r>
          </w:p>
        </w:tc>
        <w:tc>
          <w:tcPr>
            <w:tcW w:w="5383" w:type="dxa"/>
            <w:vAlign w:val="top"/>
          </w:tcPr>
          <w:p>
            <w:pPr>
              <w:ind w:left="90" w:right="41"/>
              <w:spacing w:before="65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盐酸右美托咪定对小儿全麻手术中血流动力学、苏醒质量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和术后镇痛影响</w:t>
            </w:r>
          </w:p>
        </w:tc>
        <w:tc>
          <w:tcPr>
            <w:tcW w:w="2142" w:type="dxa"/>
            <w:vAlign w:val="top"/>
          </w:tcPr>
          <w:p>
            <w:pPr>
              <w:ind w:left="32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上虞妇幼保健院</w:t>
            </w:r>
          </w:p>
        </w:tc>
      </w:tr>
      <w:tr>
        <w:trPr>
          <w:trHeight w:val="620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34</w:t>
            </w:r>
          </w:p>
        </w:tc>
        <w:tc>
          <w:tcPr>
            <w:tcW w:w="5383" w:type="dxa"/>
            <w:vAlign w:val="top"/>
          </w:tcPr>
          <w:p>
            <w:pPr>
              <w:ind w:left="90" w:right="150"/>
              <w:spacing w:before="64" w:line="24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开腹胆总管切开取石与腹腔镜下胆总管切开取石的研究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对比分析</w:t>
            </w:r>
          </w:p>
        </w:tc>
        <w:tc>
          <w:tcPr>
            <w:tcW w:w="2142" w:type="dxa"/>
            <w:vAlign w:val="top"/>
          </w:tcPr>
          <w:p>
            <w:pPr>
              <w:ind w:left="228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上虞第二人民医院</w:t>
            </w:r>
          </w:p>
        </w:tc>
      </w:tr>
      <w:tr>
        <w:trPr>
          <w:trHeight w:val="629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35</w:t>
            </w:r>
          </w:p>
        </w:tc>
        <w:tc>
          <w:tcPr>
            <w:tcW w:w="5383" w:type="dxa"/>
            <w:vAlign w:val="top"/>
          </w:tcPr>
          <w:p>
            <w:pPr>
              <w:ind w:left="90" w:right="148"/>
              <w:spacing w:before="76" w:line="24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头针及腹针疗法在青少年屈光不正干预治疗中的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协同作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用研究</w:t>
            </w:r>
          </w:p>
        </w:tc>
        <w:tc>
          <w:tcPr>
            <w:tcW w:w="2142" w:type="dxa"/>
            <w:vAlign w:val="top"/>
          </w:tcPr>
          <w:p>
            <w:pPr>
              <w:ind w:left="228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上虞第二人民医院</w:t>
            </w:r>
          </w:p>
        </w:tc>
      </w:tr>
      <w:tr>
        <w:trPr>
          <w:trHeight w:val="629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36</w:t>
            </w:r>
          </w:p>
        </w:tc>
        <w:tc>
          <w:tcPr>
            <w:tcW w:w="5383" w:type="dxa"/>
            <w:vAlign w:val="top"/>
          </w:tcPr>
          <w:p>
            <w:pPr>
              <w:ind w:left="90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曹娥江内河航运气象影响要素研究</w:t>
            </w:r>
          </w:p>
        </w:tc>
        <w:tc>
          <w:tcPr>
            <w:tcW w:w="2142" w:type="dxa"/>
            <w:vAlign w:val="top"/>
          </w:tcPr>
          <w:p>
            <w:pPr>
              <w:ind w:left="117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绍兴市上虞区气象局</w:t>
            </w:r>
          </w:p>
        </w:tc>
      </w:tr>
      <w:tr>
        <w:trPr>
          <w:trHeight w:val="624" w:hRule="atLeast"/>
        </w:trPr>
        <w:tc>
          <w:tcPr>
            <w:tcW w:w="714" w:type="dxa"/>
            <w:vAlign w:val="top"/>
          </w:tcPr>
          <w:p>
            <w:pPr>
              <w:ind w:left="245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37</w:t>
            </w:r>
          </w:p>
        </w:tc>
        <w:tc>
          <w:tcPr>
            <w:tcW w:w="5383" w:type="dxa"/>
            <w:vAlign w:val="top"/>
          </w:tcPr>
          <w:p>
            <w:pPr>
              <w:ind w:left="90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21世纪登陆台风位置与上虞降水分布的研究</w:t>
            </w:r>
          </w:p>
        </w:tc>
        <w:tc>
          <w:tcPr>
            <w:tcW w:w="2142" w:type="dxa"/>
            <w:vAlign w:val="top"/>
          </w:tcPr>
          <w:p>
            <w:pPr>
              <w:ind w:left="117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绍兴市上虞区气象局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2310" w:h="17120"/>
      <w:pgMar w:top="1455" w:right="1846" w:bottom="0" w:left="184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2023-02-16T18:44:09Z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2023-02-16T18:44:10</vt:filetime>
  </property>
  <property fmtid="{D5CDD505-2E9C-101B-9397-08002B2CF9AE}" pid="4" name="UsrData">
    <vt:lpwstr>63ee08ed7e63a600153ff705</vt:lpwstr>
  </property>
</Properties>
</file>