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ascii="宋体" w:hAnsi="宋体" w:cs="宋体"/>
          <w:sz w:val="24"/>
          <w:szCs w:val="24"/>
          <w:u w:val="single"/>
          <w:lang w:val="en-US" w:eastAsia="zh-CN" w:bidi="ar"/>
        </w:rPr>
        <w:t>档案室的手摇式密集架及配套设施采购</w:t>
      </w:r>
      <w:bookmarkStart w:id="0" w:name="_GoBack"/>
      <w:bookmarkEnd w:id="0"/>
      <w:r>
        <w:rPr>
          <w:rFonts w:hint="eastAsia" w:ascii="宋体" w:hAnsi="宋体" w:cs="宋体"/>
          <w:sz w:val="24"/>
          <w:szCs w:val="24"/>
          <w:u w:val="single"/>
          <w:lang w:val="en-US" w:eastAsia="zh-CN" w:bidi="ar"/>
        </w:rPr>
        <w:t>项目（编号：</w:t>
      </w:r>
      <w:r>
        <w:rPr>
          <w:rFonts w:hint="eastAsia"/>
          <w:sz w:val="24"/>
          <w:szCs w:val="24"/>
          <w:u w:val="single"/>
          <w:lang w:val="en-US" w:eastAsia="zh-CN"/>
        </w:rPr>
        <w:t>syzyy-2025-08</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10"/>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7"/>
        <w:tblW w:w="915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825"/>
        <w:gridCol w:w="3885"/>
        <w:gridCol w:w="645"/>
        <w:gridCol w:w="840"/>
        <w:gridCol w:w="750"/>
        <w:gridCol w:w="75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70" w:type="dxa"/>
            <w:noWrap w:val="0"/>
            <w:vAlign w:val="center"/>
          </w:tcPr>
          <w:p>
            <w:pPr>
              <w:jc w:val="center"/>
              <w:rPr>
                <w:rFonts w:hint="eastAsia"/>
                <w:b/>
                <w:bCs/>
                <w:sz w:val="20"/>
                <w:szCs w:val="20"/>
              </w:rPr>
            </w:pPr>
            <w:r>
              <w:rPr>
                <w:rFonts w:hint="eastAsia"/>
                <w:b/>
                <w:bCs/>
                <w:sz w:val="20"/>
                <w:szCs w:val="20"/>
              </w:rPr>
              <w:t>序号</w:t>
            </w:r>
          </w:p>
        </w:tc>
        <w:tc>
          <w:tcPr>
            <w:tcW w:w="825" w:type="dxa"/>
            <w:noWrap w:val="0"/>
            <w:vAlign w:val="center"/>
          </w:tcPr>
          <w:p>
            <w:pPr>
              <w:jc w:val="center"/>
              <w:rPr>
                <w:rFonts w:hint="eastAsia"/>
                <w:b/>
                <w:bCs/>
                <w:sz w:val="20"/>
                <w:szCs w:val="20"/>
              </w:rPr>
            </w:pPr>
            <w:r>
              <w:rPr>
                <w:rFonts w:hint="eastAsia"/>
                <w:b/>
                <w:bCs/>
                <w:sz w:val="20"/>
                <w:szCs w:val="20"/>
              </w:rPr>
              <w:t>设备名称</w:t>
            </w:r>
          </w:p>
        </w:tc>
        <w:tc>
          <w:tcPr>
            <w:tcW w:w="3885" w:type="dxa"/>
            <w:noWrap w:val="0"/>
            <w:vAlign w:val="center"/>
          </w:tcPr>
          <w:p>
            <w:pPr>
              <w:jc w:val="center"/>
              <w:rPr>
                <w:rFonts w:hint="eastAsia"/>
                <w:b/>
                <w:bCs/>
                <w:sz w:val="20"/>
                <w:szCs w:val="20"/>
              </w:rPr>
            </w:pPr>
            <w:r>
              <w:rPr>
                <w:rFonts w:hint="eastAsia"/>
                <w:b/>
                <w:bCs/>
                <w:sz w:val="20"/>
                <w:szCs w:val="20"/>
              </w:rPr>
              <w:t>主要技术及规格要求</w:t>
            </w:r>
          </w:p>
        </w:tc>
        <w:tc>
          <w:tcPr>
            <w:tcW w:w="645" w:type="dxa"/>
            <w:noWrap w:val="0"/>
            <w:vAlign w:val="center"/>
          </w:tcPr>
          <w:p>
            <w:pPr>
              <w:jc w:val="center"/>
              <w:rPr>
                <w:rFonts w:hint="eastAsia"/>
                <w:b/>
                <w:bCs/>
                <w:sz w:val="20"/>
                <w:szCs w:val="20"/>
              </w:rPr>
            </w:pPr>
            <w:r>
              <w:rPr>
                <w:rFonts w:hint="eastAsia"/>
                <w:b/>
                <w:bCs/>
                <w:sz w:val="20"/>
                <w:szCs w:val="20"/>
              </w:rPr>
              <w:t>单位</w:t>
            </w:r>
          </w:p>
        </w:tc>
        <w:tc>
          <w:tcPr>
            <w:tcW w:w="840" w:type="dxa"/>
            <w:noWrap w:val="0"/>
            <w:vAlign w:val="center"/>
          </w:tcPr>
          <w:p>
            <w:pPr>
              <w:jc w:val="center"/>
              <w:rPr>
                <w:rFonts w:hint="eastAsia"/>
                <w:b/>
                <w:bCs/>
                <w:sz w:val="20"/>
                <w:szCs w:val="20"/>
              </w:rPr>
            </w:pPr>
            <w:r>
              <w:rPr>
                <w:rFonts w:hint="eastAsia"/>
                <w:b/>
                <w:bCs/>
                <w:sz w:val="20"/>
                <w:szCs w:val="20"/>
              </w:rPr>
              <w:t>数量</w:t>
            </w:r>
          </w:p>
        </w:tc>
        <w:tc>
          <w:tcPr>
            <w:tcW w:w="750" w:type="dxa"/>
            <w:noWrap w:val="0"/>
            <w:vAlign w:val="center"/>
          </w:tcPr>
          <w:p>
            <w:pPr>
              <w:jc w:val="center"/>
              <w:rPr>
                <w:rFonts w:hint="eastAsia" w:eastAsia="宋体"/>
                <w:b/>
                <w:bCs/>
                <w:sz w:val="20"/>
                <w:szCs w:val="20"/>
                <w:lang w:val="en-US" w:eastAsia="zh-CN"/>
              </w:rPr>
            </w:pPr>
            <w:r>
              <w:rPr>
                <w:rFonts w:hint="eastAsia" w:eastAsia="宋体"/>
                <w:b/>
                <w:bCs/>
                <w:sz w:val="20"/>
                <w:szCs w:val="20"/>
                <w:lang w:val="en-US" w:eastAsia="zh-CN"/>
              </w:rPr>
              <w:t>单价</w:t>
            </w:r>
          </w:p>
        </w:tc>
        <w:tc>
          <w:tcPr>
            <w:tcW w:w="750" w:type="dxa"/>
            <w:noWrap w:val="0"/>
            <w:vAlign w:val="center"/>
          </w:tcPr>
          <w:p>
            <w:pPr>
              <w:jc w:val="center"/>
              <w:rPr>
                <w:rFonts w:hint="eastAsia" w:eastAsia="宋体" w:asciiTheme="minorHAnsi" w:hAnsiTheme="minorHAnsi" w:cstheme="minorBidi"/>
                <w:b/>
                <w:bCs/>
                <w:kern w:val="2"/>
                <w:sz w:val="20"/>
                <w:szCs w:val="20"/>
                <w:lang w:val="en-US" w:eastAsia="zh-CN" w:bidi="ar-SA"/>
              </w:rPr>
            </w:pPr>
            <w:r>
              <w:rPr>
                <w:rFonts w:hint="eastAsia"/>
                <w:b/>
                <w:bCs/>
                <w:sz w:val="20"/>
                <w:szCs w:val="20"/>
                <w:lang w:val="en-US" w:eastAsia="zh-CN"/>
              </w:rPr>
              <w:t>总价</w:t>
            </w:r>
          </w:p>
        </w:tc>
        <w:tc>
          <w:tcPr>
            <w:tcW w:w="885" w:type="dxa"/>
            <w:noWrap w:val="0"/>
            <w:vAlign w:val="center"/>
          </w:tcPr>
          <w:p>
            <w:pPr>
              <w:jc w:val="center"/>
              <w:rPr>
                <w:rFonts w:hint="eastAsia" w:eastAsia="宋体" w:asciiTheme="minorHAnsi" w:hAnsiTheme="minorHAnsi" w:cstheme="minorBidi"/>
                <w:b/>
                <w:bCs/>
                <w:kern w:val="2"/>
                <w:sz w:val="20"/>
                <w:szCs w:val="20"/>
                <w:lang w:val="en-US" w:eastAsia="zh-CN" w:bidi="ar-SA"/>
              </w:rPr>
            </w:pPr>
            <w:r>
              <w:rPr>
                <w:rFonts w:hint="eastAsia"/>
                <w:b/>
                <w:bCs/>
                <w:sz w:val="20"/>
                <w:szCs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70" w:type="dxa"/>
            <w:noWrap w:val="0"/>
            <w:vAlign w:val="center"/>
          </w:tcPr>
          <w:p>
            <w:pPr>
              <w:jc w:val="center"/>
              <w:rPr>
                <w:rFonts w:hint="eastAsia" w:ascii="宋体" w:hAnsi="宋体" w:cs="宋体"/>
                <w:sz w:val="20"/>
                <w:szCs w:val="20"/>
              </w:rPr>
            </w:pPr>
            <w:r>
              <w:rPr>
                <w:rFonts w:hint="eastAsia" w:ascii="宋体" w:hAnsi="宋体" w:cs="宋体"/>
                <w:sz w:val="20"/>
                <w:szCs w:val="20"/>
              </w:rPr>
              <w:t>1</w:t>
            </w:r>
          </w:p>
          <w:p>
            <w:pPr>
              <w:jc w:val="center"/>
              <w:rPr>
                <w:rFonts w:hint="default" w:ascii="宋体" w:hAnsi="宋体" w:cs="宋体"/>
                <w:sz w:val="20"/>
                <w:szCs w:val="20"/>
                <w:lang w:val="en-US" w:eastAsia="zh-CN"/>
              </w:rPr>
            </w:pPr>
          </w:p>
        </w:tc>
        <w:tc>
          <w:tcPr>
            <w:tcW w:w="825" w:type="dxa"/>
            <w:tcBorders>
              <w:right w:val="single" w:color="auto" w:sz="4" w:space="0"/>
            </w:tcBorders>
            <w:noWrap w:val="0"/>
            <w:vAlign w:val="center"/>
          </w:tcPr>
          <w:p>
            <w:pPr>
              <w:spacing w:line="360" w:lineRule="auto"/>
              <w:jc w:val="center"/>
              <w:rPr>
                <w:sz w:val="20"/>
                <w:szCs w:val="20"/>
              </w:rPr>
            </w:pPr>
            <w:r>
              <w:rPr>
                <w:rFonts w:hint="eastAsia"/>
                <w:sz w:val="20"/>
                <w:szCs w:val="20"/>
              </w:rPr>
              <w:t>手摇式密集架</w:t>
            </w:r>
          </w:p>
        </w:tc>
        <w:tc>
          <w:tcPr>
            <w:tcW w:w="3885" w:type="dxa"/>
            <w:tcBorders>
              <w:right w:val="single" w:color="auto" w:sz="4" w:space="0"/>
            </w:tcBorders>
            <w:noWrap w:val="0"/>
            <w:vAlign w:val="center"/>
          </w:tcPr>
          <w:p>
            <w:pPr>
              <w:keepNext w:val="0"/>
              <w:keepLines w:val="0"/>
              <w:widowControl w:val="0"/>
              <w:suppressLineNumbers w:val="0"/>
              <w:spacing w:before="0" w:beforeAutospacing="0" w:after="0" w:afterAutospacing="0" w:line="240" w:lineRule="auto"/>
              <w:ind w:right="0"/>
              <w:jc w:val="both"/>
              <w:rPr>
                <w:rFonts w:hint="eastAsia" w:eastAsia="宋体"/>
                <w:sz w:val="20"/>
                <w:szCs w:val="20"/>
                <w:lang w:val="en-US" w:eastAsia="zh-CN"/>
              </w:rPr>
            </w:pPr>
            <w:r>
              <w:rPr>
                <w:rFonts w:hint="eastAsia"/>
                <w:sz w:val="20"/>
                <w:szCs w:val="20"/>
              </w:rPr>
              <w:t>900*560*2420mm</w:t>
            </w:r>
            <w:r>
              <w:rPr>
                <w:rFonts w:hint="eastAsia"/>
                <w:sz w:val="20"/>
                <w:szCs w:val="20"/>
                <w:lang w:val="en-US" w:eastAsia="zh-CN"/>
              </w:rPr>
              <w:t>/组*100组；</w:t>
            </w:r>
            <w:r>
              <w:rPr>
                <w:rFonts w:hint="eastAsia"/>
                <w:sz w:val="20"/>
                <w:szCs w:val="20"/>
              </w:rPr>
              <w:t>材质说明：上海宝钢特级1.</w:t>
            </w:r>
            <w:r>
              <w:rPr>
                <w:rFonts w:hint="eastAsia"/>
                <w:sz w:val="20"/>
                <w:szCs w:val="20"/>
                <w:lang w:val="en-US" w:eastAsia="zh-CN"/>
              </w:rPr>
              <w:t>2</w:t>
            </w:r>
            <w:r>
              <w:rPr>
                <w:rFonts w:hint="eastAsia"/>
                <w:sz w:val="20"/>
                <w:szCs w:val="20"/>
              </w:rPr>
              <w:t>MM冷轧钢板，环保无气味，双轴驱动设计，大容量空间，承载推动力强，优质五金配件，设安全控制锁，轻松手摇。表面经酸洗、磷化、防腐、防锈处理，静电喷涂，有防水、防腐、防脱落、易清洗等优点，表面均匀光亮、色泽一致、无划伤</w:t>
            </w:r>
            <w:r>
              <w:rPr>
                <w:rFonts w:hint="eastAsia"/>
                <w:sz w:val="20"/>
                <w:szCs w:val="20"/>
                <w:lang w:eastAsia="zh-CN"/>
              </w:rPr>
              <w:t>；</w:t>
            </w:r>
            <w:r>
              <w:rPr>
                <w:rFonts w:hint="eastAsia" w:ascii="宋体" w:hAnsi="宋体" w:eastAsia="宋体" w:cs="宋体"/>
                <w:b w:val="0"/>
                <w:bCs w:val="0"/>
                <w:kern w:val="2"/>
                <w:sz w:val="20"/>
                <w:szCs w:val="20"/>
                <w:lang w:val="en-US" w:eastAsia="zh-CN" w:bidi="ar"/>
              </w:rPr>
              <w:t>底架：底架为分段组合式，加工精度高，具有对接互换性，便于运输和安装，并设有防倾倒装置，防止架体倾倒。用材厚度为2.5mm钢板，经由一次性成型设备压制成槽型，</w:t>
            </w:r>
            <w:r>
              <w:rPr>
                <w:rFonts w:hint="eastAsia" w:ascii="宋体" w:hAnsi="宋体" w:eastAsia="宋体" w:cs="宋体"/>
                <w:b w:val="0"/>
                <w:bCs w:val="0"/>
                <w:color w:val="000000"/>
                <w:kern w:val="2"/>
                <w:sz w:val="20"/>
                <w:szCs w:val="20"/>
                <w:lang w:val="en-US" w:eastAsia="zh-CN" w:bidi="ar"/>
              </w:rPr>
              <w:t>含两道加强筋，增大承重，</w:t>
            </w:r>
            <w:r>
              <w:rPr>
                <w:rFonts w:hint="eastAsia" w:ascii="宋体" w:hAnsi="宋体" w:eastAsia="宋体" w:cs="宋体"/>
                <w:b w:val="0"/>
                <w:bCs w:val="0"/>
                <w:kern w:val="2"/>
                <w:sz w:val="20"/>
                <w:szCs w:val="20"/>
                <w:lang w:val="en-US" w:eastAsia="zh-CN" w:bidi="ar"/>
              </w:rPr>
              <w:t>宽度为120mm,宽立边高38mm，窄立边高25mm，并压有两条半径为7mm的圆弧形加强筋，两条加强筋的间距为19.5mm,并有直径为11mm的螺丝连接孔，连接孔中心距立边内边为19.5mm。架体长期荷重存放资料不变形，底架与立柱连接采用螺栓连接，底架装配后的直线平行度不大于0.5mm/m，</w:t>
            </w:r>
            <w:r>
              <w:rPr>
                <w:rFonts w:hint="eastAsia" w:ascii="宋体" w:hAnsi="宋体" w:eastAsia="宋体" w:cs="宋体"/>
                <w:kern w:val="2"/>
                <w:sz w:val="20"/>
                <w:szCs w:val="20"/>
                <w:lang w:val="en-US" w:eastAsia="zh-CN" w:bidi="ar"/>
              </w:rPr>
              <w:t>带除湿装置，带配套文件柜一套：900*390*1850。</w:t>
            </w:r>
          </w:p>
        </w:tc>
        <w:tc>
          <w:tcPr>
            <w:tcW w:w="645" w:type="dxa"/>
            <w:tcBorders>
              <w:right w:val="single" w:color="auto" w:sz="4" w:space="0"/>
            </w:tcBorders>
            <w:noWrap w:val="0"/>
            <w:vAlign w:val="center"/>
          </w:tcPr>
          <w:p>
            <w:pPr>
              <w:spacing w:line="360" w:lineRule="auto"/>
              <w:jc w:val="center"/>
              <w:rPr>
                <w:sz w:val="20"/>
                <w:szCs w:val="20"/>
              </w:rPr>
            </w:pPr>
            <w:r>
              <w:rPr>
                <w:rFonts w:hint="eastAsia"/>
                <w:sz w:val="20"/>
                <w:szCs w:val="20"/>
              </w:rPr>
              <w:t>立方</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eastAsia="宋体"/>
                <w:sz w:val="20"/>
                <w:szCs w:val="20"/>
                <w:lang w:val="en-US" w:eastAsia="zh-CN"/>
              </w:rPr>
            </w:pPr>
            <w:r>
              <w:rPr>
                <w:rFonts w:hint="default" w:ascii="宋体" w:hAnsi="宋体" w:cs="宋体"/>
                <w:color w:val="000000"/>
                <w:kern w:val="0"/>
                <w:sz w:val="20"/>
                <w:szCs w:val="20"/>
                <w:lang w:val="en-US" w:eastAsia="zh-CN" w:bidi="ar"/>
              </w:rPr>
              <w:t>121.97</w:t>
            </w:r>
          </w:p>
        </w:tc>
        <w:tc>
          <w:tcPr>
            <w:tcW w:w="750" w:type="dxa"/>
            <w:tcBorders>
              <w:top w:val="single" w:color="auto" w:sz="4" w:space="0"/>
              <w:left w:val="single" w:color="auto" w:sz="4" w:space="0"/>
              <w:right w:val="single" w:color="auto" w:sz="4" w:space="0"/>
            </w:tcBorders>
            <w:noWrap w:val="0"/>
            <w:vAlign w:val="center"/>
          </w:tcPr>
          <w:p>
            <w:pPr>
              <w:widowControl/>
              <w:jc w:val="center"/>
              <w:textAlignment w:val="center"/>
              <w:rPr>
                <w:rFonts w:hint="default" w:ascii="宋体" w:hAnsi="宋体" w:eastAsia="宋体" w:cs="宋体"/>
                <w:color w:val="000000"/>
                <w:sz w:val="20"/>
                <w:szCs w:val="20"/>
                <w:lang w:val="en-US" w:eastAsia="zh-CN"/>
              </w:rPr>
            </w:pPr>
          </w:p>
        </w:tc>
        <w:tc>
          <w:tcPr>
            <w:tcW w:w="750"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2"/>
                <w:sz w:val="20"/>
                <w:szCs w:val="20"/>
                <w:lang w:val="en-US" w:eastAsia="zh-CN" w:bidi="ar-SA"/>
              </w:rPr>
            </w:pPr>
          </w:p>
        </w:tc>
        <w:tc>
          <w:tcPr>
            <w:tcW w:w="885"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lang w:val="en-US" w:eastAsia="zh-CN"/>
              </w:rPr>
              <w:t>供货之前需勘察现场，和采购方确认安装方案</w:t>
            </w:r>
          </w:p>
        </w:tc>
      </w:tr>
    </w:tbl>
    <w:p>
      <w:pPr>
        <w:rPr>
          <w:rFonts w:hint="eastAsia"/>
          <w:lang w:val="en-US" w:eastAsia="zh-CN"/>
        </w:rPr>
      </w:pPr>
      <w:r>
        <w:rPr>
          <w:rFonts w:hint="eastAsia"/>
          <w:sz w:val="28"/>
          <w:szCs w:val="28"/>
          <w:lang w:val="en-US" w:eastAsia="zh-CN"/>
        </w:rPr>
        <w:t>示意图：</w:t>
      </w:r>
    </w:p>
    <w:p>
      <w:pPr>
        <w:pStyle w:val="2"/>
        <w:ind w:left="0" w:leftChars="0" w:firstLine="0" w:firstLineChars="0"/>
        <w:rPr>
          <w:sz w:val="20"/>
          <w:szCs w:val="20"/>
        </w:rPr>
      </w:pPr>
      <w:r>
        <w:drawing>
          <wp:inline distT="0" distB="0" distL="114300" distR="114300">
            <wp:extent cx="5134610" cy="3127375"/>
            <wp:effectExtent l="0" t="0" r="889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134610" cy="312737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3F47F88"/>
    <w:rsid w:val="05130818"/>
    <w:rsid w:val="12224D50"/>
    <w:rsid w:val="131961E1"/>
    <w:rsid w:val="16B127BE"/>
    <w:rsid w:val="1CE529F5"/>
    <w:rsid w:val="204358FA"/>
    <w:rsid w:val="21E45110"/>
    <w:rsid w:val="24CB5054"/>
    <w:rsid w:val="33A132C4"/>
    <w:rsid w:val="347D360B"/>
    <w:rsid w:val="4B6E72C9"/>
    <w:rsid w:val="53C00EC0"/>
    <w:rsid w:val="55147C23"/>
    <w:rsid w:val="55D65586"/>
    <w:rsid w:val="5BAE1FF5"/>
    <w:rsid w:val="62E13A0B"/>
    <w:rsid w:val="64B85459"/>
    <w:rsid w:val="65A2414A"/>
    <w:rsid w:val="68076E37"/>
    <w:rsid w:val="6BA0669E"/>
    <w:rsid w:val="74383B4A"/>
    <w:rsid w:val="746717E1"/>
    <w:rsid w:val="7F2C5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200" w:firstLine="200" w:firstLineChars="200"/>
    </w:pPr>
    <w:rPr>
      <w:szCs w:val="24"/>
    </w:r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paragraph" w:styleId="5">
    <w:name w:val="Body Text"/>
    <w:basedOn w:val="1"/>
    <w:next w:val="6"/>
    <w:qFormat/>
    <w:uiPriority w:val="0"/>
    <w:pPr>
      <w:spacing w:line="380" w:lineRule="exact"/>
    </w:pPr>
    <w:rPr>
      <w:rFonts w:ascii="Calibri" w:hAnsi="Calibri" w:eastAsia="宋体" w:cs="Times New Roman"/>
      <w:sz w:val="24"/>
    </w:rPr>
  </w:style>
  <w:style w:type="paragraph" w:customStyle="1" w:styleId="6">
    <w:name w:val="Default"/>
    <w:unhideWhenUsed/>
    <w:qFormat/>
    <w:uiPriority w:val="0"/>
    <w:pPr>
      <w:widowControl w:val="0"/>
      <w:autoSpaceDE w:val="0"/>
      <w:autoSpaceDN w:val="0"/>
      <w:adjustRightInd w:val="0"/>
      <w:spacing w:line="360" w:lineRule="auto"/>
    </w:pPr>
    <w:rPr>
      <w:rFonts w:hint="eastAsia" w:ascii="宋体" w:hAnsi="宋体" w:eastAsia="宋体" w:cs="宋体"/>
      <w:color w:val="000000"/>
      <w:sz w:val="24"/>
      <w:szCs w:val="24"/>
      <w:lang w:val="en-US" w:eastAsia="zh-CN" w:bidi="ar-SA"/>
    </w:rPr>
  </w:style>
  <w:style w:type="character" w:customStyle="1" w:styleId="9">
    <w:name w:val="font41"/>
    <w:basedOn w:val="8"/>
    <w:qFormat/>
    <w:uiPriority w:val="0"/>
    <w:rPr>
      <w:rFonts w:hint="eastAsia" w:ascii="宋体" w:hAnsi="宋体" w:eastAsia="宋体" w:cs="宋体"/>
      <w:color w:val="000000"/>
      <w:sz w:val="20"/>
      <w:szCs w:val="20"/>
      <w:u w:val="none"/>
    </w:rPr>
  </w:style>
  <w:style w:type="paragraph" w:customStyle="1" w:styleId="10">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 w:type="character" w:customStyle="1" w:styleId="11">
    <w:name w:val="font51"/>
    <w:basedOn w:val="8"/>
    <w:qFormat/>
    <w:uiPriority w:val="0"/>
    <w:rPr>
      <w:rFonts w:hint="eastAsia" w:ascii="宋体" w:hAnsi="宋体" w:eastAsia="宋体" w:cs="宋体"/>
      <w:color w:val="FF0000"/>
      <w:sz w:val="20"/>
      <w:szCs w:val="20"/>
      <w:u w:val="none"/>
    </w:rPr>
  </w:style>
  <w:style w:type="character" w:customStyle="1" w:styleId="12">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17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dcterms:modified xsi:type="dcterms:W3CDTF">2025-02-22T13:31:15Z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