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城南新中医医院（包括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一期、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二期）及老中医医院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（8-12月）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服务区域：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门急诊大楼、住院大楼、康复楼、行政楼、高压氧仓、食堂及其他配套建筑设施，包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含各病区病房、配电间、公共区域、室外环境及绿化带等 靶标害虫：老鼠、蚊虫、苍蝇、蟑螂、爬虫、蛇等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防治原则：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从虫害和环境以及社会经济条件的整体观念出发，坚持标本兼治、治本为主，以及有效、简便、安全、环保的原则，因地因时制宜，采取环境防治、化学防治、物理防治、生物防治等综合性防治措施，把靶标害虫密度控制在国家标准或可接受范围以内，以达到除害防病和保障医疗环境的目的。 </w:t>
      </w:r>
    </w:p>
    <w:p>
      <w:pPr>
        <w:pStyle w:val="2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防制方案：</w:t>
      </w:r>
    </w:p>
    <w:tbl>
      <w:tblPr>
        <w:tblStyle w:val="6"/>
        <w:tblW w:w="9076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36"/>
        <w:gridCol w:w="1408"/>
        <w:gridCol w:w="2547"/>
        <w:gridCol w:w="2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81" w:type="dxa"/>
            <w:vAlign w:val="top"/>
          </w:tcPr>
          <w:p>
            <w:pPr>
              <w:pStyle w:val="5"/>
              <w:spacing w:before="202" w:line="229" w:lineRule="auto"/>
              <w:ind w:left="202"/>
            </w:pPr>
            <w:r>
              <w:rPr>
                <w:b/>
                <w:bCs/>
                <w:spacing w:val="-2"/>
              </w:rPr>
              <w:t>四害种类</w:t>
            </w:r>
          </w:p>
        </w:tc>
        <w:tc>
          <w:tcPr>
            <w:tcW w:w="1236" w:type="dxa"/>
            <w:vAlign w:val="top"/>
          </w:tcPr>
          <w:p>
            <w:pPr>
              <w:pStyle w:val="5"/>
              <w:spacing w:before="201" w:line="232" w:lineRule="auto"/>
              <w:ind w:left="313"/>
            </w:pPr>
            <w:r>
              <w:rPr>
                <w:b/>
                <w:bCs/>
                <w:spacing w:val="1"/>
              </w:rPr>
              <w:t>虫害期</w:t>
            </w:r>
          </w:p>
        </w:tc>
        <w:tc>
          <w:tcPr>
            <w:tcW w:w="1408" w:type="dxa"/>
            <w:vAlign w:val="top"/>
          </w:tcPr>
          <w:p>
            <w:pPr>
              <w:pStyle w:val="5"/>
              <w:spacing w:before="201" w:line="232" w:lineRule="auto"/>
              <w:ind w:left="500"/>
            </w:pPr>
            <w:r>
              <w:rPr>
                <w:b/>
                <w:bCs/>
              </w:rPr>
              <w:t>周期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202" w:line="230" w:lineRule="auto"/>
              <w:ind w:left="865"/>
            </w:pPr>
            <w:r>
              <w:rPr>
                <w:b/>
                <w:bCs/>
                <w:spacing w:val="3"/>
              </w:rPr>
              <w:t>消杀频次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01" w:line="229" w:lineRule="auto"/>
              <w:ind w:left="943"/>
            </w:pPr>
            <w:r>
              <w:rPr>
                <w:b/>
                <w:bCs/>
                <w:spacing w:val="3"/>
              </w:rPr>
              <w:t>工作方法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430"/>
            </w:pPr>
            <w:r>
              <w:rPr>
                <w:spacing w:val="1"/>
              </w:rPr>
              <w:t>灭鼠</w:t>
            </w:r>
          </w:p>
        </w:tc>
        <w:tc>
          <w:tcPr>
            <w:tcW w:w="123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82"/>
            </w:pPr>
            <w:r>
              <w:rPr>
                <w:spacing w:val="-1"/>
              </w:rPr>
              <w:t>3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月、10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87" w:line="277" w:lineRule="auto"/>
              <w:ind w:left="114" w:right="99" w:firstLine="6"/>
              <w:jc w:val="both"/>
            </w:pPr>
            <w:r>
              <w:rPr>
                <w:spacing w:val="10"/>
              </w:rPr>
              <w:t>每月全程无差别覆盖灭鼠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集中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周时间(7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天)，其</w:t>
            </w:r>
            <w:r>
              <w:t xml:space="preserve"> </w:t>
            </w:r>
            <w:r>
              <w:rPr>
                <w:spacing w:val="-2"/>
              </w:rPr>
              <w:t>余每周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8" w:lineRule="auto"/>
              <w:ind w:left="116" w:right="103" w:firstLine="23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pStyle w:val="5"/>
              <w:spacing w:before="183" w:line="272" w:lineRule="auto"/>
              <w:ind w:left="351" w:right="79" w:hanging="37"/>
            </w:pPr>
            <w:r>
              <w:rPr>
                <w:spacing w:val="-8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月-9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月、</w:t>
            </w:r>
            <w: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月-2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3"/>
              </w:rPr>
              <w:t>每月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1" w:lineRule="auto"/>
              <w:ind w:left="430"/>
            </w:pPr>
            <w:r>
              <w:rPr>
                <w:spacing w:val="1"/>
              </w:rPr>
              <w:t>灭蟑</w:t>
            </w:r>
          </w:p>
        </w:tc>
        <w:tc>
          <w:tcPr>
            <w:tcW w:w="123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288"/>
            </w:pPr>
            <w:r>
              <w:rPr>
                <w:spacing w:val="-3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月-8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185" w:line="272" w:lineRule="auto"/>
              <w:ind w:left="115" w:right="98" w:firstLine="3"/>
            </w:pPr>
            <w:r>
              <w:rPr>
                <w:spacing w:val="13"/>
              </w:rPr>
              <w:t>全程无差别覆盖灭蟑螂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2</w:t>
            </w:r>
            <w:r>
              <w:t xml:space="preserve"> </w:t>
            </w:r>
            <w:r>
              <w:rPr>
                <w:spacing w:val="2"/>
              </w:rPr>
              <w:t>周，其余每周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次。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7" w:lineRule="auto"/>
              <w:ind w:left="114" w:right="10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90"/>
            </w:pPr>
            <w:r>
              <w:rPr>
                <w:spacing w:val="-2"/>
              </w:rPr>
              <w:t>9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月-6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3"/>
              </w:rPr>
              <w:t>每月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430"/>
            </w:pPr>
            <w:r>
              <w:rPr>
                <w:spacing w:val="1"/>
              </w:rPr>
              <w:t>灭蚊</w:t>
            </w:r>
          </w:p>
        </w:tc>
        <w:tc>
          <w:tcPr>
            <w:tcW w:w="123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35"/>
            </w:pPr>
            <w:r>
              <w:t>4</w:t>
            </w:r>
            <w:r>
              <w:rPr>
                <w:spacing w:val="-25"/>
              </w:rPr>
              <w:t xml:space="preserve"> </w:t>
            </w:r>
            <w:r>
              <w:t>月-11</w:t>
            </w:r>
            <w:r>
              <w:rPr>
                <w:spacing w:val="-25"/>
              </w:rPr>
              <w:t xml:space="preserve"> </w:t>
            </w:r>
            <w: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6"/>
              </w:rPr>
              <w:t>每周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7" w:lineRule="auto"/>
              <w:ind w:left="119" w:right="103" w:hanging="5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52"/>
            </w:pPr>
            <w:r>
              <w:rPr>
                <w:spacing w:val="-3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月-3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pStyle w:val="5"/>
              <w:spacing w:before="189" w:line="271" w:lineRule="auto"/>
              <w:ind w:left="118" w:right="99" w:firstLine="2"/>
            </w:pPr>
            <w:r>
              <w:rPr>
                <w:spacing w:val="7"/>
              </w:rPr>
              <w:t>每月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次，1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月增加院内</w:t>
            </w:r>
            <w:r>
              <w:t xml:space="preserve"> </w:t>
            </w:r>
            <w:r>
              <w:rPr>
                <w:spacing w:val="2"/>
              </w:rPr>
              <w:t>全方位灭越冬蚊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次。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430"/>
            </w:pPr>
            <w:r>
              <w:rPr>
                <w:spacing w:val="1"/>
              </w:rPr>
              <w:t>灭蝇</w:t>
            </w:r>
          </w:p>
        </w:tc>
        <w:tc>
          <w:tcPr>
            <w:tcW w:w="12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13"/>
            </w:pPr>
            <w:r>
              <w:rPr>
                <w:spacing w:val="2"/>
              </w:rPr>
              <w:t>高发期</w:t>
            </w:r>
          </w:p>
        </w:tc>
        <w:tc>
          <w:tcPr>
            <w:tcW w:w="14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35"/>
            </w:pPr>
            <w:r>
              <w:t>4</w:t>
            </w:r>
            <w:r>
              <w:rPr>
                <w:spacing w:val="-25"/>
              </w:rPr>
              <w:t xml:space="preserve"> </w:t>
            </w:r>
            <w:r>
              <w:t>月-11</w:t>
            </w:r>
            <w:r>
              <w:rPr>
                <w:spacing w:val="-25"/>
              </w:rPr>
              <w:t xml:space="preserve"> </w:t>
            </w:r>
            <w: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6"/>
              </w:rPr>
              <w:t>每周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2" w:line="282" w:lineRule="auto"/>
              <w:ind w:left="114" w:right="103" w:firstLine="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09"/>
            </w:pPr>
            <w:r>
              <w:rPr>
                <w:spacing w:val="4"/>
              </w:rPr>
              <w:t>潜伏期</w:t>
            </w:r>
          </w:p>
        </w:tc>
        <w:tc>
          <w:tcPr>
            <w:tcW w:w="14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352"/>
            </w:pPr>
            <w:r>
              <w:rPr>
                <w:spacing w:val="-3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月-3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25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121"/>
            </w:pPr>
            <w:r>
              <w:rPr>
                <w:spacing w:val="-3"/>
              </w:rPr>
              <w:t>每月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2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417" w:type="dxa"/>
            <w:gridSpan w:val="2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273"/>
            </w:pPr>
            <w:r>
              <w:rPr>
                <w:spacing w:val="8"/>
              </w:rPr>
              <w:t>其他突发性虫害防治</w:t>
            </w:r>
          </w:p>
        </w:tc>
        <w:tc>
          <w:tcPr>
            <w:tcW w:w="140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1" w:lineRule="auto"/>
              <w:ind w:left="506"/>
            </w:pPr>
            <w:r>
              <w:rPr>
                <w:spacing w:val="-1"/>
              </w:rPr>
              <w:t>全年</w:t>
            </w:r>
          </w:p>
        </w:tc>
        <w:tc>
          <w:tcPr>
            <w:tcW w:w="254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114"/>
            </w:pPr>
            <w:r>
              <w:rPr>
                <w:spacing w:val="7"/>
              </w:rPr>
              <w:t>根据情况不同进行消杀。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145" w:line="277" w:lineRule="auto"/>
              <w:ind w:left="116" w:right="10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9076" w:type="dxa"/>
            <w:gridSpan w:val="5"/>
            <w:vAlign w:val="top"/>
          </w:tcPr>
          <w:p>
            <w:pPr>
              <w:pStyle w:val="5"/>
              <w:spacing w:before="237" w:line="229" w:lineRule="auto"/>
              <w:ind w:right="9"/>
              <w:jc w:val="right"/>
            </w:pPr>
            <w:r>
              <w:rPr>
                <w:spacing w:val="7"/>
              </w:rPr>
              <w:t>1.各区域、单元有临时性虫害发生，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电话告知后，</w:t>
            </w:r>
            <w:r>
              <w:rPr>
                <w:rFonts w:hint="eastAsia"/>
                <w:spacing w:val="7"/>
                <w:lang w:val="en-US" w:eastAsia="zh-CN"/>
              </w:rPr>
              <w:t>要求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小时内派作业人员到场查看并及时处理。</w:t>
            </w:r>
          </w:p>
          <w:p>
            <w:pPr>
              <w:pStyle w:val="5"/>
              <w:spacing w:before="194" w:line="372" w:lineRule="auto"/>
              <w:ind w:right="103"/>
            </w:pPr>
            <w:r>
              <w:rPr>
                <w:spacing w:val="11"/>
              </w:rPr>
              <w:t>2.</w:t>
            </w:r>
            <w:r>
              <w:rPr>
                <w:rFonts w:hint="eastAsia"/>
                <w:spacing w:val="11"/>
                <w:lang w:val="en-US" w:eastAsia="zh-CN"/>
              </w:rPr>
              <w:t>需要提供</w:t>
            </w:r>
            <w:r>
              <w:rPr>
                <w:spacing w:val="11"/>
              </w:rPr>
              <w:t>防鼠设施、防蚊蝇设施</w:t>
            </w:r>
            <w:r>
              <w:rPr>
                <w:rFonts w:hint="eastAsia"/>
                <w:spacing w:val="11"/>
                <w:lang w:val="en-US" w:eastAsia="zh-CN"/>
              </w:rPr>
              <w:t>等</w:t>
            </w:r>
            <w:r>
              <w:rPr>
                <w:spacing w:val="10"/>
              </w:rPr>
              <w:t>其他消杀器材和药物</w:t>
            </w:r>
            <w:r>
              <w:t>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考核标准：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需要达到国家</w:t>
      </w:r>
      <w:r>
        <w:rPr>
          <w:rFonts w:ascii="仿宋" w:hAnsi="仿宋" w:eastAsia="仿宋" w:cs="仿宋"/>
          <w:spacing w:val="-2"/>
          <w:sz w:val="30"/>
          <w:szCs w:val="30"/>
        </w:rPr>
        <w:t>《病媒生物密度控制水平》C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级标</w:t>
      </w:r>
      <w:r>
        <w:rPr>
          <w:rFonts w:ascii="仿宋" w:hAnsi="仿宋" w:eastAsia="仿宋" w:cs="仿宋"/>
          <w:spacing w:val="-3"/>
          <w:sz w:val="30"/>
          <w:szCs w:val="30"/>
        </w:rPr>
        <w:t>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057D6E4A"/>
    <w:rsid w:val="17085DF7"/>
    <w:rsid w:val="37AD0ADA"/>
    <w:rsid w:val="5F8E527E"/>
    <w:rsid w:val="5FAF3E1C"/>
    <w:rsid w:val="63C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2025-08-19T07:43:33Z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